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60A16D3D"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B7184A">
        <w:t>34</w:t>
      </w:r>
      <w:r w:rsidR="00F303AC">
        <w:t>43</w:t>
      </w:r>
      <w:r w:rsidR="00494AA6" w:rsidRPr="00490DBC">
        <w:t xml:space="preserve"> </w:t>
      </w:r>
      <w:r w:rsidR="00494AA6" w:rsidRPr="00490DBC">
        <w:rPr>
          <w:b/>
          <w:bCs/>
        </w:rPr>
        <w:t>„</w:t>
      </w:r>
      <w:r w:rsidR="00F17DA0">
        <w:rPr>
          <w:b/>
          <w:bCs/>
        </w:rPr>
        <w:t>RMK hallatavatelt maadelt jäätmete likvideerimine (</w:t>
      </w:r>
      <w:r w:rsidR="00F303AC">
        <w:rPr>
          <w:b/>
          <w:bCs/>
        </w:rPr>
        <w:t>6</w:t>
      </w:r>
      <w:r w:rsidR="00F17DA0">
        <w:rPr>
          <w:b/>
          <w:bCs/>
        </w:rPr>
        <w:t>)</w:t>
      </w:r>
      <w:r w:rsidR="00144DFC" w:rsidRPr="00490DBC">
        <w:rPr>
          <w:b/>
          <w:bCs/>
        </w:rPr>
        <w:t xml:space="preserve">“ </w:t>
      </w:r>
      <w:r w:rsidRPr="00490DBC">
        <w:t>(viitenumber</w:t>
      </w:r>
      <w:r>
        <w:t xml:space="preserve"> </w:t>
      </w:r>
      <w:r w:rsidR="00F303AC">
        <w:t>296903</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5687925D"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A5005F">
        <w:rPr>
          <w:rFonts w:ascii="Times New Roman" w:hAnsi="Times New Roman" w:cs="Times New Roman"/>
          <w:b/>
          <w:bCs/>
          <w:sz w:val="24"/>
          <w:szCs w:val="24"/>
        </w:rPr>
        <w:t>4</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A5005F">
        <w:rPr>
          <w:rFonts w:ascii="Times New Roman" w:hAnsi="Times New Roman" w:cs="Times New Roman"/>
          <w:b/>
          <w:bCs/>
          <w:sz w:val="24"/>
          <w:szCs w:val="24"/>
        </w:rPr>
        <w:t>neljaks</w:t>
      </w:r>
      <w:r w:rsidR="00347F88" w:rsidRPr="002A2F2B">
        <w:rPr>
          <w:rFonts w:ascii="Times New Roman" w:hAnsi="Times New Roman" w:cs="Times New Roman"/>
          <w:b/>
          <w:bCs/>
          <w:sz w:val="24"/>
          <w:szCs w:val="24"/>
        </w:rPr>
        <w:t>) hanke osaks:</w:t>
      </w:r>
    </w:p>
    <w:p w14:paraId="1DCECC14" w14:textId="26C442C5"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A5005F">
        <w:rPr>
          <w:rFonts w:ascii="Times New Roman" w:hAnsi="Times New Roman" w:cs="Times New Roman"/>
          <w:sz w:val="24"/>
          <w:szCs w:val="24"/>
        </w:rPr>
        <w:t>Lääne ja Rapla maakond</w:t>
      </w:r>
    </w:p>
    <w:p w14:paraId="65BCADE1" w14:textId="3E33090E"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A5005F">
        <w:rPr>
          <w:rFonts w:ascii="Times New Roman" w:hAnsi="Times New Roman" w:cs="Times New Roman"/>
          <w:sz w:val="24"/>
          <w:szCs w:val="24"/>
        </w:rPr>
        <w:t>Pärnu maakond</w:t>
      </w:r>
    </w:p>
    <w:p w14:paraId="7C62FC03" w14:textId="052C4D6D"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C026B4">
        <w:rPr>
          <w:rFonts w:ascii="Times New Roman" w:hAnsi="Times New Roman" w:cs="Times New Roman"/>
          <w:sz w:val="24"/>
          <w:szCs w:val="24"/>
        </w:rPr>
        <w:t>Viljandi maakond</w:t>
      </w:r>
    </w:p>
    <w:p w14:paraId="55454292" w14:textId="10816F12"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w:t>
      </w:r>
      <w:r w:rsidR="00C026B4">
        <w:rPr>
          <w:rFonts w:ascii="Times New Roman" w:hAnsi="Times New Roman" w:cs="Times New Roman"/>
          <w:sz w:val="24"/>
          <w:szCs w:val="24"/>
        </w:rPr>
        <w:t>Tartu maakond</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lastRenderedPageBreak/>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P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60A65" w14:textId="77777777" w:rsidR="00771183" w:rsidRDefault="00771183" w:rsidP="007D5A07">
      <w:pPr>
        <w:spacing w:after="0" w:line="240" w:lineRule="auto"/>
      </w:pPr>
      <w:r>
        <w:separator/>
      </w:r>
    </w:p>
  </w:endnote>
  <w:endnote w:type="continuationSeparator" w:id="0">
    <w:p w14:paraId="237AC9B5" w14:textId="77777777" w:rsidR="00771183" w:rsidRDefault="00771183"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BEDB" w14:textId="77777777" w:rsidR="00771183" w:rsidRDefault="00771183" w:rsidP="007D5A07">
      <w:pPr>
        <w:spacing w:after="0" w:line="240" w:lineRule="auto"/>
      </w:pPr>
      <w:r>
        <w:separator/>
      </w:r>
    </w:p>
  </w:footnote>
  <w:footnote w:type="continuationSeparator" w:id="0">
    <w:p w14:paraId="7CD46176" w14:textId="77777777" w:rsidR="00771183" w:rsidRDefault="00771183"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6504F"/>
    <w:rsid w:val="0017123A"/>
    <w:rsid w:val="0017366E"/>
    <w:rsid w:val="001D3AF5"/>
    <w:rsid w:val="001D72B2"/>
    <w:rsid w:val="00212319"/>
    <w:rsid w:val="00222A3F"/>
    <w:rsid w:val="002716EA"/>
    <w:rsid w:val="00275962"/>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5278FB"/>
    <w:rsid w:val="005312D3"/>
    <w:rsid w:val="00534CCE"/>
    <w:rsid w:val="005546EA"/>
    <w:rsid w:val="005A1D4C"/>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629E"/>
    <w:rsid w:val="006E7177"/>
    <w:rsid w:val="006F7AED"/>
    <w:rsid w:val="007066AF"/>
    <w:rsid w:val="00706743"/>
    <w:rsid w:val="00725619"/>
    <w:rsid w:val="00727320"/>
    <w:rsid w:val="00730C02"/>
    <w:rsid w:val="00771183"/>
    <w:rsid w:val="0077118C"/>
    <w:rsid w:val="007C0A15"/>
    <w:rsid w:val="007D41D3"/>
    <w:rsid w:val="007D56C4"/>
    <w:rsid w:val="007D5A07"/>
    <w:rsid w:val="007D6D7F"/>
    <w:rsid w:val="007F25E4"/>
    <w:rsid w:val="008019E4"/>
    <w:rsid w:val="00804C8A"/>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839F5"/>
    <w:rsid w:val="00A94D07"/>
    <w:rsid w:val="00A973FC"/>
    <w:rsid w:val="00AC3A03"/>
    <w:rsid w:val="00AD212E"/>
    <w:rsid w:val="00AE4AF3"/>
    <w:rsid w:val="00B042F9"/>
    <w:rsid w:val="00B122C6"/>
    <w:rsid w:val="00B440B3"/>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52B00"/>
    <w:rsid w:val="00C7299A"/>
    <w:rsid w:val="00CC7B71"/>
    <w:rsid w:val="00CD1947"/>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6</TotalTime>
  <Pages>2</Pages>
  <Words>746</Words>
  <Characters>4330</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6</cp:revision>
  <dcterms:created xsi:type="dcterms:W3CDTF">2025-06-16T11:10:00Z</dcterms:created>
  <dcterms:modified xsi:type="dcterms:W3CDTF">2025-06-16T11:15:00Z</dcterms:modified>
</cp:coreProperties>
</file>